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54" w:rsidRPr="00453E3E" w:rsidRDefault="00526054" w:rsidP="007D284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26054" w:rsidRPr="00453E3E" w:rsidRDefault="00526054" w:rsidP="00804177">
      <w:pPr>
        <w:jc w:val="center"/>
        <w:rPr>
          <w:b/>
          <w:bCs/>
          <w:color w:val="000000"/>
          <w:szCs w:val="18"/>
          <w:u w:val="single"/>
          <w:lang w:eastAsia="uk-UA"/>
        </w:rPr>
      </w:pPr>
    </w:p>
    <w:p w:rsidR="00526054" w:rsidRPr="001857C3" w:rsidRDefault="00526054" w:rsidP="00804177">
      <w:pPr>
        <w:jc w:val="center"/>
        <w:rPr>
          <w:b/>
          <w:bCs/>
          <w:color w:val="000000"/>
          <w:sz w:val="24"/>
          <w:szCs w:val="24"/>
          <w:lang w:eastAsia="uk-UA"/>
        </w:rPr>
      </w:pPr>
      <w:r w:rsidRPr="001857C3">
        <w:rPr>
          <w:b/>
          <w:bCs/>
          <w:color w:val="000000"/>
          <w:sz w:val="24"/>
          <w:szCs w:val="24"/>
          <w:lang w:eastAsia="uk-UA"/>
        </w:rPr>
        <w:t xml:space="preserve">ТЕСТИ </w:t>
      </w:r>
    </w:p>
    <w:p w:rsidR="00526054" w:rsidRPr="001857C3" w:rsidRDefault="00526054" w:rsidP="00804177">
      <w:pPr>
        <w:jc w:val="center"/>
        <w:rPr>
          <w:b/>
          <w:bCs/>
          <w:color w:val="000000"/>
          <w:sz w:val="24"/>
          <w:szCs w:val="24"/>
          <w:lang w:eastAsia="uk-UA"/>
        </w:rPr>
      </w:pPr>
      <w:r w:rsidRPr="001857C3">
        <w:rPr>
          <w:b/>
          <w:bCs/>
          <w:color w:val="000000"/>
          <w:sz w:val="24"/>
          <w:szCs w:val="24"/>
          <w:lang w:eastAsia="uk-UA"/>
        </w:rPr>
        <w:t>першого етапу кваліфікаційного іспиту</w:t>
      </w:r>
    </w:p>
    <w:p w:rsidR="00526054" w:rsidRPr="001857C3" w:rsidRDefault="00526054" w:rsidP="00804177">
      <w:pPr>
        <w:jc w:val="center"/>
        <w:rPr>
          <w:b/>
          <w:bCs/>
          <w:color w:val="000000"/>
          <w:sz w:val="24"/>
          <w:szCs w:val="24"/>
          <w:lang w:eastAsia="uk-UA"/>
        </w:rPr>
      </w:pPr>
      <w:r w:rsidRPr="001857C3">
        <w:rPr>
          <w:b/>
          <w:bCs/>
          <w:color w:val="000000"/>
          <w:sz w:val="24"/>
          <w:szCs w:val="24"/>
          <w:lang w:eastAsia="uk-UA"/>
        </w:rPr>
        <w:t>на отримання сертифіката аудитора банків</w:t>
      </w:r>
    </w:p>
    <w:p w:rsidR="00526054" w:rsidRPr="001857C3" w:rsidRDefault="00526054" w:rsidP="00804177">
      <w:pPr>
        <w:jc w:val="center"/>
        <w:rPr>
          <w:b/>
          <w:bCs/>
          <w:color w:val="000000"/>
          <w:sz w:val="24"/>
          <w:szCs w:val="24"/>
          <w:lang w:eastAsia="uk-UA"/>
        </w:rPr>
      </w:pPr>
      <w:r w:rsidRPr="001857C3">
        <w:rPr>
          <w:b/>
          <w:bCs/>
          <w:color w:val="000000"/>
          <w:sz w:val="24"/>
          <w:szCs w:val="24"/>
          <w:lang w:eastAsia="uk-UA"/>
        </w:rPr>
        <w:t>31 жовтня 2014 року</w:t>
      </w:r>
    </w:p>
    <w:p w:rsidR="00526054" w:rsidRPr="00CC0028" w:rsidRDefault="00526054" w:rsidP="00804177">
      <w:pPr>
        <w:jc w:val="center"/>
        <w:rPr>
          <w:rFonts w:ascii="Calibri" w:hAnsi="Calibri"/>
          <w:color w:val="000000"/>
          <w:sz w:val="12"/>
          <w:szCs w:val="12"/>
          <w:lang w:eastAsia="uk-UA"/>
        </w:rPr>
      </w:pPr>
    </w:p>
    <w:p w:rsidR="00526054" w:rsidRDefault="00526054" w:rsidP="007D284D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889" w:type="dxa"/>
        <w:tblLook w:val="00A0"/>
      </w:tblPr>
      <w:tblGrid>
        <w:gridCol w:w="1242"/>
        <w:gridCol w:w="8647"/>
      </w:tblGrid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Варіант відповіді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Питання та варіанти відповіді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911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b/>
                <w:bCs/>
                <w:sz w:val="24"/>
                <w:szCs w:val="24"/>
              </w:rPr>
              <w:t>Для яких з наведених нижче портфелів, цінні папери  не підлягають перегляду на зменшення корисності?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Портфель вкладень в асоційовані та дочірні компанії;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Портфель до погашення;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Торговий портфель;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2. Про ризикову політику банку щодо валютних операцій банку свідчить: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Закрита валютна позиція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Дотримання нормативу відкритої довгої валютної позиції;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Дотримання нормативу відкритої короткої валютної позиції;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Перевищення установленого нормативу відкритої валютної позиції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3. Ліквідність банку підвищується у разі: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Зростання обсягу залучених депозитів;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Зростання обсягу виданих кредитів;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Видачі  кредитів у сумі залучених депозитів;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4. За операціями оперативної оренди до складової орендної плати не включається: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Сума амортизації майна, що орендується;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Вартість майна, що передане в лізинг;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Дохід лізингодавця за орендні послуги;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5. Сума уцінки об’єкта основних засобів у разі відсутності його дооцінки: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Зменшує відповідну статтю доходів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Зменшує відповідну статтю капіталу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Не впливає на зміну статей балансу;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Збільшує відповідну статтю витрат банку.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911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Сума власного капіталу, відображена у фінансовій звітності</w:t>
            </w:r>
            <w:r w:rsidRPr="00911D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– це: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Різниця між вимогами та зобов’язаннями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Регулятивний капітал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Статутний капітал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Основний капітал  банку.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911D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Під час видачі кредиту під процентну ставку, що нижча за ринкову, банк здійснює: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Визнання витрат;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Визнання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Зменшення відповідних статей капіталу;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Не змінює статті доходів, витрат  та капіталу.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8. Як зміниться сума доходів, нарахованих за ефективною ставкою відсотка, у разі визнання банком зменшення корисності кредитів?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Сума доходу збільшиться;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Сума доходу зменшиться;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Сума доходу залишиться без змін;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Сума доходу збільшиться пропорційно зменшенню корисності кредитів.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 xml:space="preserve">9. У випадку зміни офіційного курсу гривні до іноземних валют на звітну дату: 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Переоцінюються всі активи та зобов’язання в іноземній валюті;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Переоцінюються всі монетарні активи та монетарні зобов’язання в іноземній валюті;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Переоцінюються всі активи в іноземній валюті;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Жодні переоцінки не здійснюються.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10.</w:t>
            </w:r>
            <w:r w:rsidRPr="00911D5B">
              <w:rPr>
                <w:sz w:val="24"/>
                <w:szCs w:val="24"/>
              </w:rPr>
              <w:t xml:space="preserve"> </w:t>
            </w:r>
            <w:r w:rsidRPr="00911D5B">
              <w:rPr>
                <w:b/>
                <w:sz w:val="24"/>
                <w:szCs w:val="24"/>
              </w:rPr>
              <w:t>При складанні консолідованої фінансової звітності підлягають виключенню: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Внутрішньогрупові операції;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Фінансові інвестиції материнського банку в дочірній банк і частка материнського банку в дочірньому;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Нереалізовані прибутки та збитки від внутрішньогрупових операцій (крім збитків, які не можуть бути відшкодовані);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Всі відповіді правильні.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11. У випадку зростання офіційного курсу гривні до іноземних валют на звітну дату при переоцінці монетарних активів у фінансовій звітності визнають: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tabs>
                <w:tab w:val="left" w:pos="2940"/>
              </w:tabs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Нульовий результат;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Дохід від торгівлі іноземною валютою та банківськими металами;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Прибуток від торгівлі іноземною валютою та банківськими металами;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Збиток від торгівлі іноземною валютою та банківськими металами.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 xml:space="preserve">12. </w:t>
            </w:r>
            <w:r w:rsidRPr="00911D5B">
              <w:rPr>
                <w:b/>
                <w:bCs/>
                <w:sz w:val="24"/>
                <w:szCs w:val="24"/>
              </w:rPr>
              <w:t>За цінними паперами в торговому портфелі банку резерв формується: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На суму дооцінки цінного паперу до справедливої вартості;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12.2.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На суму уцінки цінного паперу до справедливої вартості;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12.3.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Резерв за такими цінними паперами не формується;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12.4.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13. За наявності відкритої короткої валютної позиції банку зростання валютного курсу: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13.1.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Призведе до зменшення прибутку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13.2.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Не вплине на регулятивний капітал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13.3.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Призведе до збільшення прибутку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13.4.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Не вплине на прибуток банку</w:t>
            </w:r>
            <w:r w:rsidRPr="00911D5B">
              <w:rPr>
                <w:sz w:val="24"/>
                <w:szCs w:val="24"/>
              </w:rPr>
              <w:t>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BodyText"/>
              <w:ind w:right="0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BodyText"/>
              <w:ind w:right="0"/>
              <w:rPr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14. Отримані</w:t>
            </w:r>
            <w:r w:rsidRPr="00911D5B">
              <w:rPr>
                <w:sz w:val="24"/>
                <w:szCs w:val="24"/>
              </w:rPr>
              <w:t xml:space="preserve"> </w:t>
            </w:r>
            <w:r w:rsidRPr="00911D5B">
              <w:rPr>
                <w:b/>
                <w:sz w:val="24"/>
                <w:szCs w:val="24"/>
              </w:rPr>
              <w:t>авансом проценти під час видачі іпотечного кредиту у фінансовій звітності банк відображає: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14.1.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За статтею процентних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14.2.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За статтею інших операційних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14.3.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статтею наданих кредитів;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14.4.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статтею інших активів.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15. З</w:t>
            </w:r>
            <w:r w:rsidRPr="00911D5B">
              <w:rPr>
                <w:bCs/>
                <w:iCs/>
                <w:sz w:val="24"/>
                <w:szCs w:val="24"/>
              </w:rPr>
              <w:t>аставлене майно, яке отримане банком з метою продажу, визнається: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noProof/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У сумі</w:t>
            </w:r>
            <w:r w:rsidRPr="00911D5B">
              <w:rPr>
                <w:noProof/>
                <w:sz w:val="24"/>
                <w:szCs w:val="24"/>
              </w:rPr>
              <w:t xml:space="preserve"> заборгованості за кредитом та відсотками;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15.2.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За в</w:t>
            </w:r>
            <w:r w:rsidRPr="00911D5B">
              <w:rPr>
                <w:noProof/>
                <w:sz w:val="24"/>
                <w:szCs w:val="24"/>
              </w:rPr>
              <w:t>артістю майна, яка зазначена в договорі застави;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15.3.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noProof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с</w:t>
            </w:r>
            <w:r w:rsidRPr="00911D5B">
              <w:rPr>
                <w:b w:val="0"/>
                <w:noProof/>
                <w:sz w:val="24"/>
                <w:szCs w:val="24"/>
              </w:rPr>
              <w:t>праведливою вартістю з вирахуванням витрат на продаж;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15.4.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noProof/>
                <w:sz w:val="24"/>
                <w:szCs w:val="24"/>
                <w:lang w:val="ru-RU"/>
              </w:rPr>
            </w:pPr>
            <w:r w:rsidRPr="00911D5B">
              <w:rPr>
                <w:sz w:val="24"/>
                <w:szCs w:val="24"/>
              </w:rPr>
              <w:t>У сумі</w:t>
            </w:r>
            <w:r w:rsidRPr="00911D5B">
              <w:rPr>
                <w:noProof/>
                <w:sz w:val="24"/>
                <w:szCs w:val="24"/>
              </w:rPr>
              <w:t xml:space="preserve"> заборгованості за кредитом, відсотками та пенями.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noProof/>
                <w:sz w:val="24"/>
                <w:szCs w:val="24"/>
                <w:lang w:val="ru-RU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noProof/>
                <w:sz w:val="24"/>
                <w:szCs w:val="24"/>
              </w:rPr>
            </w:pPr>
            <w:r w:rsidRPr="00911D5B">
              <w:rPr>
                <w:b/>
                <w:noProof/>
                <w:sz w:val="24"/>
                <w:szCs w:val="24"/>
              </w:rPr>
              <w:t>16. Яка дата вважається датою отримання платником доходів від кредитно-депозитних операцій для сплати податку на прибуток?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BodyText"/>
              <w:ind w:right="0"/>
              <w:rPr>
                <w:noProof/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Дата, що припадає на податковий період, протягом якого було здійснено або мало бути здійснено отримання процентів згідно з умовами договору;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Дата фактично отриманих процентів;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noProof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Дата визнання процентів, визначена згідно з правилами бухгалтерського обліку;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16.4.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pacing w:val="-6"/>
                <w:sz w:val="24"/>
                <w:szCs w:val="24"/>
              </w:rPr>
            </w:pPr>
            <w:r w:rsidRPr="00911D5B">
              <w:rPr>
                <w:b w:val="0"/>
                <w:spacing w:val="-6"/>
                <w:sz w:val="24"/>
                <w:szCs w:val="24"/>
              </w:rPr>
              <w:t>Дата, що припадає на податковий період, протягом якого відбувається будь-яка з подій, що сталася раніше: визнання процентів згідно з правилами бухгалтерського обліку або отримання процентів.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pacing w:val="-6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pacing w:val="-6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pacing w:val="-6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noProof/>
                <w:sz w:val="24"/>
                <w:szCs w:val="24"/>
              </w:rPr>
            </w:pPr>
            <w:r w:rsidRPr="00911D5B">
              <w:rPr>
                <w:b/>
                <w:spacing w:val="-6"/>
                <w:sz w:val="24"/>
                <w:szCs w:val="24"/>
              </w:rPr>
              <w:t xml:space="preserve">17. </w:t>
            </w:r>
            <w:r w:rsidRPr="00911D5B">
              <w:rPr>
                <w:b/>
                <w:noProof/>
                <w:sz w:val="24"/>
                <w:szCs w:val="24"/>
              </w:rPr>
              <w:t>Яка дата вважається датою сплати банком процентів за залученими депозитами для сплати податку на додану вартість?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17.1.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Дата фактичної сплати процентів;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17.2.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Дата нарахування  процентів;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17.3.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pacing w:val="-6"/>
                <w:sz w:val="24"/>
                <w:szCs w:val="24"/>
              </w:rPr>
            </w:pPr>
            <w:r w:rsidRPr="00911D5B">
              <w:rPr>
                <w:b w:val="0"/>
                <w:spacing w:val="-6"/>
                <w:sz w:val="24"/>
                <w:szCs w:val="24"/>
              </w:rPr>
              <w:t>Дата, що припадає на податковий період, протягом якого відбувається будь-яка з подій, що сталася раніше: визнання процентів згідно з правилами бухгалтерського обліку або отримання процентів;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17.4.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18. При формуванні резерву під зменшення корисності кредиту в розрахунок грошових потоків від реалізації застави включається застава: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18.1.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У сумі, яка</w:t>
            </w:r>
            <w:r w:rsidRPr="00911D5B">
              <w:rPr>
                <w:sz w:val="24"/>
                <w:szCs w:val="24"/>
              </w:rPr>
              <w:t xml:space="preserve"> </w:t>
            </w:r>
            <w:r w:rsidRPr="00911D5B">
              <w:rPr>
                <w:b w:val="0"/>
                <w:sz w:val="24"/>
                <w:szCs w:val="24"/>
              </w:rPr>
              <w:t>зазначена в договорі застави;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18.2.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У сумі, зазначеній в договорі застави, але не вище загальної суми платежів, передбачених кредитним договором;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18.3.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pacing w:val="-6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Застава не включається до грошових потоків;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18.4.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911D5B">
              <w:rPr>
                <w:b w:val="0"/>
                <w:sz w:val="24"/>
                <w:szCs w:val="24"/>
              </w:rPr>
              <w:t>У розмірі 50 % суми, яка</w:t>
            </w:r>
            <w:r w:rsidRPr="00911D5B">
              <w:rPr>
                <w:sz w:val="24"/>
                <w:szCs w:val="24"/>
              </w:rPr>
              <w:t xml:space="preserve"> </w:t>
            </w:r>
            <w:r w:rsidRPr="00911D5B">
              <w:rPr>
                <w:b w:val="0"/>
                <w:sz w:val="24"/>
                <w:szCs w:val="24"/>
              </w:rPr>
              <w:t>зазначена в договорі застави.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  <w:lang w:val="ru-RU"/>
              </w:rPr>
              <w:t>19</w:t>
            </w:r>
            <w:r w:rsidRPr="00911D5B">
              <w:rPr>
                <w:sz w:val="24"/>
                <w:szCs w:val="24"/>
              </w:rPr>
              <w:t>. Передані у фінансовий лізинг основні засоби обліковуються:</w:t>
            </w:r>
            <w:r w:rsidRPr="00911D5B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19.1.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рахунками основних засобів;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19.2.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рахунками дебіторської заборгованості;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19.3.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рахунками витрат майбутніх періодів;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19.4.</w:t>
            </w:r>
          </w:p>
        </w:tc>
        <w:tc>
          <w:tcPr>
            <w:tcW w:w="8647" w:type="dxa"/>
          </w:tcPr>
          <w:p w:rsidR="00526054" w:rsidRPr="00911D5B" w:rsidRDefault="00526054" w:rsidP="00695A9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рахунками наданих кредитів.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20. Відповідно до вимог Міжнародних стандартів бухгалтерського обліку відстрочені податкові зобов’язання створюються: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20.1.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За рахунок витрат;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20.2.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За рахунок власного капіталу;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20.3.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рахунок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20.4.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  <w:highlight w:val="yellow"/>
              </w:rPr>
            </w:pPr>
            <w:r w:rsidRPr="00911D5B">
              <w:rPr>
                <w:sz w:val="24"/>
                <w:szCs w:val="24"/>
              </w:rPr>
              <w:t>За рахунок власного капіталу та витрат.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21. Дисконт (премія) за фінансовими інструментами: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21.1.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color w:val="000000"/>
                <w:sz w:val="24"/>
                <w:szCs w:val="24"/>
              </w:rPr>
              <w:t>Амортизується одночасно з нарахуванням процентів</w:t>
            </w:r>
            <w:r w:rsidRPr="00911D5B">
              <w:rPr>
                <w:sz w:val="24"/>
                <w:szCs w:val="24"/>
              </w:rPr>
              <w:t xml:space="preserve"> за </w:t>
            </w:r>
            <w:r w:rsidRPr="00911D5B">
              <w:rPr>
                <w:color w:val="000000"/>
                <w:sz w:val="24"/>
                <w:szCs w:val="24"/>
              </w:rPr>
              <w:t>фінансовими інструментами;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21.2.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Амортизується під час</w:t>
            </w:r>
            <w:r w:rsidRPr="00911D5B">
              <w:rPr>
                <w:color w:val="000000"/>
                <w:sz w:val="24"/>
                <w:szCs w:val="24"/>
              </w:rPr>
              <w:t xml:space="preserve"> припинення визнання фінансових інструментів;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21.3.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left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 xml:space="preserve">Амортизується під час первісного </w:t>
            </w:r>
            <w:r w:rsidRPr="00911D5B">
              <w:rPr>
                <w:b w:val="0"/>
                <w:color w:val="000000"/>
                <w:sz w:val="24"/>
                <w:szCs w:val="24"/>
              </w:rPr>
              <w:t>визнання фінансових інструментів;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21.4.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  <w:lang w:val="ru-RU"/>
              </w:rPr>
            </w:pPr>
            <w:r w:rsidRPr="00911D5B">
              <w:rPr>
                <w:sz w:val="24"/>
                <w:szCs w:val="24"/>
              </w:rPr>
              <w:t>Амортизується під час погашення фінансових інструментів.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  <w:lang w:val="ru-RU"/>
              </w:rPr>
            </w:pPr>
          </w:p>
          <w:p w:rsidR="00526054" w:rsidRPr="00911D5B" w:rsidRDefault="00526054" w:rsidP="00911D5B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22. Нарахування процентного доходу за фінансовими активами, за якими визнано зменшення корисності, здійснюється на: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22.1.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color w:val="000000"/>
                <w:sz w:val="24"/>
                <w:szCs w:val="24"/>
              </w:rPr>
              <w:t>Балансову вартість активу з використанням ставки відсотка, передбаченої договором;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22.2.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911D5B">
              <w:rPr>
                <w:b w:val="0"/>
                <w:color w:val="000000"/>
                <w:sz w:val="24"/>
                <w:szCs w:val="24"/>
              </w:rPr>
              <w:t>Балансову вартість активу з використанням ефективної ставки відсотка, що застосовується для дисконтування оцінених очікуваних грошових потоків під час визначення зменшення корисності фінансового активу;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22.3.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color w:val="000000"/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Суму заборгованості згідно з договором</w:t>
            </w:r>
            <w:r w:rsidRPr="00911D5B">
              <w:rPr>
                <w:color w:val="000000"/>
                <w:sz w:val="24"/>
                <w:szCs w:val="24"/>
              </w:rPr>
              <w:t xml:space="preserve"> з використанням ефективної ставки відсотка, що застосовується для дисконтування оцінених очікуваних грошових потоків під час визначення зменшення корисності фінансового активу;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22.4.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911D5B">
              <w:rPr>
                <w:b w:val="0"/>
                <w:color w:val="000000"/>
                <w:sz w:val="24"/>
                <w:szCs w:val="24"/>
              </w:rPr>
              <w:t>Нарахування процентного доходу за фінансовими активами, за якими визнано зменшення корисності, не здійснюється.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sz w:val="24"/>
                <w:szCs w:val="24"/>
              </w:rPr>
            </w:pPr>
            <w:r w:rsidRPr="00911D5B">
              <w:rPr>
                <w:color w:val="000000"/>
                <w:sz w:val="24"/>
                <w:szCs w:val="24"/>
                <w:lang w:val="en-US"/>
              </w:rPr>
              <w:t>23</w:t>
            </w:r>
            <w:r w:rsidRPr="00911D5B">
              <w:rPr>
                <w:color w:val="000000"/>
                <w:sz w:val="24"/>
                <w:szCs w:val="24"/>
              </w:rPr>
              <w:t>. Р</w:t>
            </w:r>
            <w:r w:rsidRPr="00911D5B">
              <w:rPr>
                <w:sz w:val="24"/>
                <w:szCs w:val="24"/>
              </w:rPr>
              <w:t xml:space="preserve">езерв-забезпечення – це: 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23.1.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Сума коштів, яку банк зобов’язаний резервувати під зменшення корисності активів;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23.2.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Сума коштів, як</w:t>
            </w:r>
            <w:r w:rsidRPr="00911D5B">
              <w:rPr>
                <w:sz w:val="24"/>
                <w:szCs w:val="24"/>
                <w:lang w:val="ru-RU"/>
              </w:rPr>
              <w:t>у</w:t>
            </w:r>
            <w:r w:rsidRPr="00911D5B">
              <w:rPr>
                <w:sz w:val="24"/>
                <w:szCs w:val="24"/>
              </w:rPr>
              <w:t xml:space="preserve"> банк зобов’язаний зберігати в центральному банку;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23.3.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Сума коштів, яку банк зобов’язаний резервувати для виконання зобов’язань, що виникли в результаті минулих подій та будуть погашатися в майбутньому;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23.4.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Сума коштів, яку банк резервує для покриття непередбачених збитків.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24. У разі продажу кредитів без передачі покупцеві всіх ризиків та винагород: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24.1.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Заборгованість за кредитами обліковується банком - продавцем за балансовими рахунками у сумі, яка передбачена договором купівлі-продажу;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24.2.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Заборгованість за кредитами банком - продавцем не обліковується;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24.3.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Заборгованість за кредитами обліковується банком - продавцем за позабалансовими рахунками у сумі, яка передбачена договором купівлі-продажу;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24.4.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Заборгованість за кредитами обліковуються банком - продавцем за балансовими рахунками за балансовою вартістю проданих кредитів.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25. Кредиторська заборгованість в іноземній валюті з продажу цінних паперів на звітну дату балансу відображається в бухгалтерському обліку: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25.1.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офіційним курсом гривні до іноземної валюти на дату її виникнення;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25.2.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офіційним курсом гривні до іноземної валюти на звітну дату балансу;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25.3.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ринковим курсом гривні до іноземної валюти на звітну дату балансу;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25.4.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За ринковим курсом гривні до іноземної валюти на дату її виникнення.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color w:val="000000"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26. Сума штрафних санкцій, нарахованих банком за порушення боржником виконання умов кредитних договорів, обліковується банком: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26.1.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рахунками доходів майбутніх періодів;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26.2.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рахунками операційних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26.3.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За рахунками процентних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26.4.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За рахунками управлінського обліку.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27. Затрати на реконструкцію будівлі відображаються за: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27.1.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Рахунками операційних витрат;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27.2.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Рахунками капітальних інвестицій;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27.3.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Рахунками витрат майбутніх періодів;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27.4.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Рахунками неопераційних витрат.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28. Отриману в оперативну оренду будівлю з метою використання в господарській діяльності (справедлива вартість будівлі – 1500 000 грн, загальна сума орендних платежів – 35 000 грн) банк відобразить: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28.1.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У сумі 1500 000 грн за рахунком основних засобів;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28.2.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У сумі 35 000 грн за рахунком основних засобів;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28.3.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У сумі 1500 000 грн за рахунком витрат майбутніх періодів;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28.4.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29. Продаж кредитної заборгованості,</w:t>
            </w:r>
            <w:r w:rsidRPr="00911D5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балансова вартість</w:t>
            </w:r>
            <w:r w:rsidRPr="00911D5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якої</w:t>
            </w:r>
            <w:r w:rsidRPr="00911D5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 xml:space="preserve">становить 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br/>
              <w:t>500 000 грн, а ціна продажу 400 000 грн  банк відобразить: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29.1.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У сумі 500 000 грн – за рахунком витрат, 400 000 грн – за рахунком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29.2.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Title"/>
              <w:jc w:val="both"/>
              <w:rPr>
                <w:b w:val="0"/>
                <w:sz w:val="24"/>
                <w:szCs w:val="24"/>
              </w:rPr>
            </w:pPr>
            <w:r w:rsidRPr="00911D5B">
              <w:rPr>
                <w:b w:val="0"/>
                <w:sz w:val="24"/>
                <w:szCs w:val="24"/>
              </w:rPr>
              <w:t>У сумі 100 000 грн – за рахунком витрат;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29.3.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У сумі 100 000 грн – за рахунком капіталу;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29.4.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У сумі 400 000 грн – за рахунком доходів.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30. Продаж цінних паперів з відстроченням платежу банк відобразить: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30.1.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статтею  наданих кредитів;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30.2.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 xml:space="preserve">За статтею  інших активів ( дебіторська заборгованість); 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30.3.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За статтею  цінних паперів;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30.4.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31. Видачу кредиту пов’язаним фізичним особам за ставкою, яка нижча за ринкову, банк відобразить: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31.1.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У сумі виданих кредитів – за рахунками наданих кредитів;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31.2.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На суму збитків першого дня – за рахунками  витрат та на різницю між сумою наданих кредитів та збитками першого дня – за рахунками наданих кредитів;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31.3.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У сумі виданих кредитів – за рахунками наданих кредитів та  на суму збитків першого дня –  рахунками витрат майбутніх періодів;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31.4.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На суму збитків першого дня – за рахунками  витрат майбутніх періодів та на різницю між сумою наданих кредитів та збитками першого дня –</w:t>
            </w:r>
            <w:r w:rsidRPr="00911D5B">
              <w:rPr>
                <w:sz w:val="24"/>
                <w:szCs w:val="24"/>
                <w:lang w:val="ru-RU"/>
              </w:rPr>
              <w:t xml:space="preserve"> </w:t>
            </w:r>
            <w:r w:rsidRPr="00911D5B">
              <w:rPr>
                <w:sz w:val="24"/>
                <w:szCs w:val="24"/>
              </w:rPr>
              <w:t>за рахунками наданих кредитів.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32. У поточному звітному періоді банк визнав відстрочене податкове зобов’язання за операціями з формування резервів-забезпечень під майбутні відпустки працівників. У наступному періоді (періоді виплати відпускних) відстрочене податкове зобов’язання</w:t>
            </w:r>
            <w:r w:rsidRPr="00911D5B">
              <w:rPr>
                <w:sz w:val="24"/>
                <w:szCs w:val="24"/>
              </w:rPr>
              <w:t>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32.1.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</w:t>
            </w:r>
            <w:r w:rsidRPr="00911D5B">
              <w:rPr>
                <w:rFonts w:ascii="Times New Roman" w:hAnsi="Times New Roman"/>
                <w:sz w:val="24"/>
                <w:szCs w:val="24"/>
              </w:rPr>
              <w:t>меншить суму зобов’язань з податку на прибуток;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32.2.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Збільшить суму зобов’язань з податку на прибуток;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32.3.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Створить податкову знижку;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32.4.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rPr>
          <w:trHeight w:val="1284"/>
        </w:trPr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33. Банком достроково отримані кошти у погашення чергового траншу заборгованості за кредитом (термін сплати не настав). Завчасне надходження коштів у погашення заборгованості за кредитом призведе до: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33.1.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Збільшення суми нарахованих доходів за кредитом, які має сплатити боржник;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33.2.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Зменшення суми нарахованих доходів за кредитом, які має сплатити боржник;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33.3.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Не вплине на суму нарахованих доходів за кредитом, які має сплатити боржник;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33.4.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Збільшення/зменшення суми нарахованих доходів, які має сплатити боржник, залежатиме від умов кредитного договору.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b/>
                <w:sz w:val="24"/>
                <w:szCs w:val="24"/>
              </w:rPr>
            </w:pPr>
            <w:r w:rsidRPr="00911D5B">
              <w:rPr>
                <w:b/>
                <w:sz w:val="24"/>
                <w:szCs w:val="24"/>
              </w:rPr>
              <w:t>34. Банк обліковує основні засоби за первісною вартістю (собівартістю) з урахуванням накопиченої амортизації. У разі зростання ринкової вартості основних засобів банк: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34.1.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Здійснить дооцінку основних засобів з визнанням дооцінки у сумі різниці між їх балансовою та ринковою вартістю за рахунками капіталу;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34.2.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Здійснить дооцінку основних засобів з визнанням дооцінки у сумі різниці між їх балансовою та ринковою вартістю за рахунками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34.3.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Не здійснюватиме дооцінку основних засобів;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34.4.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  <w:r w:rsidRPr="00911D5B">
              <w:rPr>
                <w:sz w:val="24"/>
                <w:szCs w:val="24"/>
              </w:rPr>
              <w:t>Здійснить дооцінку основних засобів з визнанням дооцінки у сумі 50 % від різниці між їх балансовою та ринковою вартістю за рахунками капіталу.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jc w:val="both"/>
              <w:rPr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35. На суму залучених депозитів в іноземній валюті банк придбав цінні папери в іноземній валюті. Повернення депозитів у національній валюті (гривні) призведе до: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35.1.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Збільшення короткої валютної позиції;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35.2.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Зменшення короткої валютної позиції;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35.3.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Не вплине на валютну позицію;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35.4.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Зменшення довгої валютної позиції.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695A9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  <w:r w:rsidRPr="00911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Сума активів в іноземній валюті значно перевищує суму</w:t>
            </w:r>
            <w:r w:rsidRPr="00911D5B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 xml:space="preserve">обов’язань в іноземній валюті. Зростання офіційного курсу іноземної валюти до гривні: 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36.1.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Вплине на збільшення прибутку;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36.2.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Вплине на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sz w:val="24"/>
                <w:szCs w:val="24"/>
              </w:rPr>
              <w:t>зменшення прибутку;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36.3.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Не матиме впливу на прибуток;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36.4.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Збільшить коротку  та зменшить довгу валютну позицію.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37. Складання банками України  фінансової звітності здійснюється: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37.1.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Виключно за даними бухгалтерського обліку;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37.2.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Шляхом трансформації даних бухгалтерського обліку відповідно до Міжнародних стандартів бухгалтерського обліку та фінансової звітності;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37.3.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Шляхом трансформації даних бухгалтерського обліку відповідно до Національних стандартів (положень) бухгалтерського обліку;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37.4.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Шляхом трансформації даних бухгалтерського обліку відповідно до внутрішньої політики банку.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  <w:r w:rsidRPr="00911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При продажу обладнання, яке було  уцінено, на суму уцінки банк: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38.1.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Збільшить нерозподілений прибуток;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38.2.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Збільшить результат від продажу;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38.3.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Ніякі проведення в частині уцінки не здійснюватимуться;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38.4.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Зменшить результат від продажу.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39. Які з зазначених нижче операцій створюють відстрочені податки?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39.1.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Нараховані процентні витрати за залученими депозитами;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39.2.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Дооцінка основних засобів та створення резервів - забезпечень під відпустки;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39.3.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Сплачені штрафні санкції за порушення умов контракту на придбання обладнання;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39.4.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жодною з операцій не виникає відстрочених податків.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40. Податковим агентом зі справляння податку на доходи фізичних осіб за процентами,  нарахованими за депозитами фізичних осіб, є: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40.1.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Банківська установа  при нарахуванні процентів;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40.2.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Платник податку-фізична особа під час отримання процентних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40.3.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Податок на доходи фізичних  осіб з процентних доходів не сплачується 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40.4.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Платник податку-фізична особа під час декларування доходів за звітний рік.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41. Сплата пенсійного збору регулюється: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41.1.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Податковим кодексом України;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41.2.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Законом України «Про збір та облік єдиного внеску на загальнообов'язкове державне соціальне страхування»;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41.3.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Законом України «Про збір на обов’язкове державне пенсійне страхування»;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41.4.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Законом України «Про державний бюджет».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42. Штрафи та пені, сплачені банком за невиконання умов кредитного договору</w:t>
            </w:r>
            <w:r w:rsidRPr="00911D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 xml:space="preserve"> включаються до  бази оподаткування: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42.1.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Податком на прибуток;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42.2.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Податком на додану вартість;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42.3.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Відповіді «а» і «б» правильні;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42.4.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Відповіді «а» і «б» неправильні.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43. Банк виплатив фізичній особі кошти за переклад фінансової звітності згідно з цивільно-правовим договором, нарахував проценти за залученим депозитом та надав матеріальну допомогу у вигляді комп’ютера. За даними операціями банк сплатить: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43.1.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Податок на доходи фізичних осіб;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43.2.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Податок на додану вартість;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43.3.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Податок на доходи фізичних осіб, єдиний соціальний внесок та податок на додану вартість;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43.4.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Жодних податкових зобов’язань у банка не виникне.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44. Виданий банком кредит (заборгованість) обліковується: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44.1.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балансовими рахунками;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44.2.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балансовими та позабалансовими рахунками;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44.3.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рахунками управлінського обліку;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44.4.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За позабалансовими рахунками.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45. Ефективна ставка</w:t>
            </w:r>
            <w:bookmarkStart w:id="0" w:name="_GoBack"/>
            <w:bookmarkEnd w:id="0"/>
            <w:r w:rsidRPr="00911D5B">
              <w:rPr>
                <w:rFonts w:ascii="Times New Roman" w:hAnsi="Times New Roman"/>
                <w:b/>
                <w:sz w:val="24"/>
                <w:szCs w:val="24"/>
              </w:rPr>
              <w:t xml:space="preserve"> відсотка за наданими кредитами використовується для: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45.1.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Визнання доходу у фінансовій звітності;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45.2.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Розрахунку суми процентів для сплати боржником;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45.3.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Визнання доходу у фінансовій звітності та для оподаткування податком на прибуток;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45.4.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Не використовується для зазначених вище цілей.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46. Податковим агентом щодо податку на доходи фізичних осіб при погашенні кредиту заставним майном фізичної особи є: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46.1.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Банк;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46.2.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Фізична особа;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46.3.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Судовий виконавець;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46.4.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Податок з  такої операції не сплачується.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47. Податком на додану вартість за нульовою ставкою оподатковуються операції з: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47.1.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Надання благодійної допомоги юридичним особам;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47.2.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Постачання товарів, послуг, що були експортовані платником податків за межі митної території України;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47.3.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Постачання лікарських засобів за переліком, встановленим КМУ;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47.4.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Правильна відповідь відсутня.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695A9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695A9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  <w:r w:rsidRPr="00911D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Показник прибутковості капіталу – це: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48.1.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Співвідношення капіталу до суми доходів;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48.2.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Співвідношення доходів до суми активів;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48.3.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Співвідношення суми прибутку до капіталу;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48.4.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Співвідношення суми витрат до капіталу.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49. Валютна позиція є довгою, якщо: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49.1.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Обсяг зобов'язань перевищує обсяг активів;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49.2.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Обсяг активів перевищує обсяг зобов'язань;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49.3.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Обсяг зобов'язань дорівнює обсягу активів;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49.4.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Обсяг активів не дорівнює обсягу зобов'язань.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D5B">
              <w:rPr>
                <w:rFonts w:ascii="Times New Roman" w:hAnsi="Times New Roman"/>
                <w:b/>
                <w:sz w:val="24"/>
                <w:szCs w:val="24"/>
              </w:rPr>
              <w:t>50. Вплив короткої валютної позиції на капітал банку у разі ревальвації національної валюти (гривні):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50.1.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Капітал банку зростає;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50.2.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Капітал банку знижується;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50.3.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Вплив на капітал відсутній;</w:t>
            </w:r>
          </w:p>
        </w:tc>
      </w:tr>
      <w:tr w:rsidR="00526054" w:rsidRPr="001E321C" w:rsidTr="00911D5B">
        <w:tc>
          <w:tcPr>
            <w:tcW w:w="1242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50.4.</w:t>
            </w:r>
          </w:p>
        </w:tc>
        <w:tc>
          <w:tcPr>
            <w:tcW w:w="8647" w:type="dxa"/>
          </w:tcPr>
          <w:p w:rsidR="00526054" w:rsidRPr="00911D5B" w:rsidRDefault="00526054" w:rsidP="00911D5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D5B">
              <w:rPr>
                <w:rFonts w:ascii="Times New Roman" w:hAnsi="Times New Roman"/>
                <w:sz w:val="24"/>
                <w:szCs w:val="24"/>
              </w:rPr>
              <w:t>Правильна відповідь відсутня.</w:t>
            </w:r>
          </w:p>
        </w:tc>
      </w:tr>
    </w:tbl>
    <w:p w:rsidR="00526054" w:rsidRPr="001E321C" w:rsidRDefault="00526054" w:rsidP="007D284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26054" w:rsidRPr="006708A6" w:rsidRDefault="00526054" w:rsidP="00414C3E">
      <w:pPr>
        <w:pStyle w:val="NoSpacing"/>
        <w:rPr>
          <w:rFonts w:ascii="Times New Roman" w:hAnsi="Times New Roman"/>
          <w:sz w:val="24"/>
          <w:szCs w:val="24"/>
          <w:highlight w:val="cyan"/>
        </w:rPr>
      </w:pPr>
    </w:p>
    <w:p w:rsidR="00526054" w:rsidRPr="006708A6" w:rsidRDefault="00526054" w:rsidP="00414C3E">
      <w:pPr>
        <w:pStyle w:val="NoSpacing"/>
        <w:rPr>
          <w:rFonts w:ascii="Times New Roman" w:hAnsi="Times New Roman"/>
          <w:sz w:val="24"/>
          <w:szCs w:val="24"/>
          <w:highlight w:val="cyan"/>
        </w:rPr>
      </w:pPr>
    </w:p>
    <w:p w:rsidR="00526054" w:rsidRPr="006708A6" w:rsidRDefault="00526054" w:rsidP="00FD5922">
      <w:pPr>
        <w:pStyle w:val="NoSpacing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526054" w:rsidRPr="006708A6" w:rsidRDefault="00526054" w:rsidP="00D16EE1">
      <w:pPr>
        <w:pStyle w:val="NoSpacing"/>
        <w:jc w:val="both"/>
        <w:rPr>
          <w:rFonts w:ascii="Times New Roman" w:hAnsi="Times New Roman"/>
          <w:sz w:val="24"/>
          <w:szCs w:val="24"/>
          <w:highlight w:val="cyan"/>
          <w:lang w:val="ru-RU"/>
        </w:rPr>
      </w:pPr>
    </w:p>
    <w:p w:rsidR="00526054" w:rsidRPr="006708A6" w:rsidRDefault="00526054" w:rsidP="00CA2EBF">
      <w:pPr>
        <w:pStyle w:val="NoSpacing"/>
        <w:rPr>
          <w:rFonts w:ascii="Times New Roman" w:hAnsi="Times New Roman"/>
          <w:i/>
          <w:sz w:val="24"/>
          <w:szCs w:val="24"/>
          <w:highlight w:val="cyan"/>
        </w:rPr>
      </w:pPr>
    </w:p>
    <w:p w:rsidR="00526054" w:rsidRPr="006708A6" w:rsidRDefault="00526054" w:rsidP="00AA0E5B">
      <w:pPr>
        <w:ind w:left="360" w:hanging="360"/>
        <w:jc w:val="both"/>
        <w:rPr>
          <w:b/>
          <w:bCs/>
          <w:sz w:val="24"/>
          <w:szCs w:val="24"/>
          <w:highlight w:val="cyan"/>
        </w:rPr>
      </w:pPr>
    </w:p>
    <w:p w:rsidR="00526054" w:rsidRPr="006708A6" w:rsidRDefault="00526054" w:rsidP="00AA0E5B">
      <w:pPr>
        <w:ind w:left="1416" w:hanging="1416"/>
        <w:jc w:val="both"/>
        <w:rPr>
          <w:b/>
          <w:bCs/>
          <w:sz w:val="24"/>
          <w:szCs w:val="24"/>
          <w:highlight w:val="cyan"/>
        </w:rPr>
      </w:pPr>
    </w:p>
    <w:p w:rsidR="00526054" w:rsidRDefault="00526054" w:rsidP="00AB4BE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26054" w:rsidRDefault="00526054" w:rsidP="00AB4BE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526054" w:rsidSect="00097708">
      <w:footerReference w:type="default" r:id="rId7"/>
      <w:pgSz w:w="11906" w:h="16838"/>
      <w:pgMar w:top="850" w:right="850" w:bottom="850" w:left="1417" w:header="708" w:footer="2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054" w:rsidRDefault="00526054" w:rsidP="00C87E44">
      <w:r>
        <w:separator/>
      </w:r>
    </w:p>
  </w:endnote>
  <w:endnote w:type="continuationSeparator" w:id="0">
    <w:p w:rsidR="00526054" w:rsidRDefault="00526054" w:rsidP="00C87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54" w:rsidRPr="00097708" w:rsidRDefault="00526054">
    <w:pPr>
      <w:pStyle w:val="Footer"/>
      <w:jc w:val="center"/>
      <w:rPr>
        <w:sz w:val="22"/>
        <w:szCs w:val="22"/>
      </w:rPr>
    </w:pPr>
    <w:r w:rsidRPr="00097708">
      <w:rPr>
        <w:sz w:val="22"/>
        <w:szCs w:val="22"/>
      </w:rPr>
      <w:fldChar w:fldCharType="begin"/>
    </w:r>
    <w:r w:rsidRPr="00097708">
      <w:rPr>
        <w:sz w:val="22"/>
        <w:szCs w:val="22"/>
      </w:rPr>
      <w:instrText>PAGE   \* MERGEFORMAT</w:instrText>
    </w:r>
    <w:r w:rsidRPr="00097708">
      <w:rPr>
        <w:sz w:val="22"/>
        <w:szCs w:val="22"/>
      </w:rPr>
      <w:fldChar w:fldCharType="separate"/>
    </w:r>
    <w:r w:rsidRPr="006E7DFC">
      <w:rPr>
        <w:noProof/>
        <w:sz w:val="22"/>
        <w:szCs w:val="22"/>
        <w:lang w:val="ru-RU"/>
      </w:rPr>
      <w:t>8</w:t>
    </w:r>
    <w:r w:rsidRPr="00097708">
      <w:rPr>
        <w:sz w:val="22"/>
        <w:szCs w:val="22"/>
      </w:rPr>
      <w:fldChar w:fldCharType="end"/>
    </w:r>
  </w:p>
  <w:p w:rsidR="00526054" w:rsidRDefault="005260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054" w:rsidRDefault="00526054" w:rsidP="00C87E44">
      <w:r>
        <w:separator/>
      </w:r>
    </w:p>
  </w:footnote>
  <w:footnote w:type="continuationSeparator" w:id="0">
    <w:p w:rsidR="00526054" w:rsidRDefault="00526054" w:rsidP="00C87E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51B86"/>
    <w:multiLevelType w:val="hybridMultilevel"/>
    <w:tmpl w:val="91CE09BA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9B5ED8"/>
    <w:multiLevelType w:val="hybridMultilevel"/>
    <w:tmpl w:val="297004B0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5B6541"/>
    <w:multiLevelType w:val="hybridMultilevel"/>
    <w:tmpl w:val="686439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D721BF2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44DA2776"/>
    <w:multiLevelType w:val="hybridMultilevel"/>
    <w:tmpl w:val="981026E0"/>
    <w:lvl w:ilvl="0" w:tplc="B68A3C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614413D"/>
    <w:multiLevelType w:val="hybridMultilevel"/>
    <w:tmpl w:val="EF2291B4"/>
    <w:lvl w:ilvl="0" w:tplc="98CAEBF6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A1BC2"/>
    <w:multiLevelType w:val="multilevel"/>
    <w:tmpl w:val="510A81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">
    <w:nsid w:val="5D2D53EE"/>
    <w:multiLevelType w:val="multilevel"/>
    <w:tmpl w:val="2668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2621"/>
    <w:rsid w:val="00001F5B"/>
    <w:rsid w:val="000060E1"/>
    <w:rsid w:val="000065BF"/>
    <w:rsid w:val="0001512A"/>
    <w:rsid w:val="00016353"/>
    <w:rsid w:val="0001732B"/>
    <w:rsid w:val="00026419"/>
    <w:rsid w:val="00027551"/>
    <w:rsid w:val="00034B8E"/>
    <w:rsid w:val="000429D0"/>
    <w:rsid w:val="00052445"/>
    <w:rsid w:val="0006018B"/>
    <w:rsid w:val="0006325F"/>
    <w:rsid w:val="000677A7"/>
    <w:rsid w:val="0007774D"/>
    <w:rsid w:val="0008197D"/>
    <w:rsid w:val="00082B0A"/>
    <w:rsid w:val="00085B4E"/>
    <w:rsid w:val="000874A1"/>
    <w:rsid w:val="0008751B"/>
    <w:rsid w:val="00090A92"/>
    <w:rsid w:val="00097708"/>
    <w:rsid w:val="000A269E"/>
    <w:rsid w:val="000A2D28"/>
    <w:rsid w:val="000A3110"/>
    <w:rsid w:val="000A6665"/>
    <w:rsid w:val="000B699F"/>
    <w:rsid w:val="000C1D40"/>
    <w:rsid w:val="000C7FE1"/>
    <w:rsid w:val="000D05A0"/>
    <w:rsid w:val="000D5C91"/>
    <w:rsid w:val="000E33CD"/>
    <w:rsid w:val="000E590F"/>
    <w:rsid w:val="000F085C"/>
    <w:rsid w:val="0010706E"/>
    <w:rsid w:val="00110CC7"/>
    <w:rsid w:val="0011408C"/>
    <w:rsid w:val="00117635"/>
    <w:rsid w:val="00117A79"/>
    <w:rsid w:val="00123936"/>
    <w:rsid w:val="0012592C"/>
    <w:rsid w:val="001277AF"/>
    <w:rsid w:val="00143D38"/>
    <w:rsid w:val="00144223"/>
    <w:rsid w:val="00144BA0"/>
    <w:rsid w:val="00144F41"/>
    <w:rsid w:val="00145500"/>
    <w:rsid w:val="00155D7C"/>
    <w:rsid w:val="00160891"/>
    <w:rsid w:val="00170489"/>
    <w:rsid w:val="00182933"/>
    <w:rsid w:val="001839B9"/>
    <w:rsid w:val="001857C3"/>
    <w:rsid w:val="00186867"/>
    <w:rsid w:val="00186F82"/>
    <w:rsid w:val="001A1D5D"/>
    <w:rsid w:val="001A4256"/>
    <w:rsid w:val="001A7FF4"/>
    <w:rsid w:val="001B4250"/>
    <w:rsid w:val="001C190A"/>
    <w:rsid w:val="001C395A"/>
    <w:rsid w:val="001C3F77"/>
    <w:rsid w:val="001C6E50"/>
    <w:rsid w:val="001D14E7"/>
    <w:rsid w:val="001D3FD6"/>
    <w:rsid w:val="001D79B1"/>
    <w:rsid w:val="001E04CC"/>
    <w:rsid w:val="001E115E"/>
    <w:rsid w:val="001E1382"/>
    <w:rsid w:val="001E321C"/>
    <w:rsid w:val="001E6B05"/>
    <w:rsid w:val="001F2420"/>
    <w:rsid w:val="001F2D0A"/>
    <w:rsid w:val="001F5CD1"/>
    <w:rsid w:val="0020125B"/>
    <w:rsid w:val="00203496"/>
    <w:rsid w:val="00207176"/>
    <w:rsid w:val="002136CC"/>
    <w:rsid w:val="0022354C"/>
    <w:rsid w:val="00224ABF"/>
    <w:rsid w:val="00225A59"/>
    <w:rsid w:val="00237EEB"/>
    <w:rsid w:val="00241983"/>
    <w:rsid w:val="00242621"/>
    <w:rsid w:val="00246456"/>
    <w:rsid w:val="00250C85"/>
    <w:rsid w:val="00251152"/>
    <w:rsid w:val="002511F2"/>
    <w:rsid w:val="0025268F"/>
    <w:rsid w:val="002601B2"/>
    <w:rsid w:val="002660CC"/>
    <w:rsid w:val="0026724B"/>
    <w:rsid w:val="002726A6"/>
    <w:rsid w:val="0027402C"/>
    <w:rsid w:val="0027415F"/>
    <w:rsid w:val="002770A1"/>
    <w:rsid w:val="002862DC"/>
    <w:rsid w:val="00291F81"/>
    <w:rsid w:val="002A2117"/>
    <w:rsid w:val="002A6D74"/>
    <w:rsid w:val="002B0C1A"/>
    <w:rsid w:val="002B62EB"/>
    <w:rsid w:val="002C3090"/>
    <w:rsid w:val="002D3BB8"/>
    <w:rsid w:val="002E26AB"/>
    <w:rsid w:val="002E347E"/>
    <w:rsid w:val="002E6AB4"/>
    <w:rsid w:val="002F04F2"/>
    <w:rsid w:val="002F716D"/>
    <w:rsid w:val="002F740B"/>
    <w:rsid w:val="00304489"/>
    <w:rsid w:val="003104A1"/>
    <w:rsid w:val="00310B64"/>
    <w:rsid w:val="0031123F"/>
    <w:rsid w:val="0031316C"/>
    <w:rsid w:val="003151D2"/>
    <w:rsid w:val="00315D17"/>
    <w:rsid w:val="00320335"/>
    <w:rsid w:val="003245BF"/>
    <w:rsid w:val="003255F5"/>
    <w:rsid w:val="00326F95"/>
    <w:rsid w:val="003276BD"/>
    <w:rsid w:val="00335C33"/>
    <w:rsid w:val="003365C7"/>
    <w:rsid w:val="00345BC2"/>
    <w:rsid w:val="00351F17"/>
    <w:rsid w:val="0035441C"/>
    <w:rsid w:val="00355B74"/>
    <w:rsid w:val="00360A15"/>
    <w:rsid w:val="00361197"/>
    <w:rsid w:val="00371103"/>
    <w:rsid w:val="00371D0F"/>
    <w:rsid w:val="00375DF3"/>
    <w:rsid w:val="00377375"/>
    <w:rsid w:val="00377998"/>
    <w:rsid w:val="00377E0C"/>
    <w:rsid w:val="003839F0"/>
    <w:rsid w:val="00384201"/>
    <w:rsid w:val="003847BE"/>
    <w:rsid w:val="00397A62"/>
    <w:rsid w:val="003A271A"/>
    <w:rsid w:val="003A2B64"/>
    <w:rsid w:val="003A66CC"/>
    <w:rsid w:val="003B1D76"/>
    <w:rsid w:val="003C1152"/>
    <w:rsid w:val="003C1940"/>
    <w:rsid w:val="003C3B21"/>
    <w:rsid w:val="003C4985"/>
    <w:rsid w:val="003C6371"/>
    <w:rsid w:val="003C67F2"/>
    <w:rsid w:val="003D114C"/>
    <w:rsid w:val="003E1C01"/>
    <w:rsid w:val="003F048A"/>
    <w:rsid w:val="003F1898"/>
    <w:rsid w:val="00400814"/>
    <w:rsid w:val="00405E75"/>
    <w:rsid w:val="0041113E"/>
    <w:rsid w:val="004145BE"/>
    <w:rsid w:val="00414C3E"/>
    <w:rsid w:val="00420480"/>
    <w:rsid w:val="00424625"/>
    <w:rsid w:val="004355CB"/>
    <w:rsid w:val="0043561F"/>
    <w:rsid w:val="00436F81"/>
    <w:rsid w:val="00440CE9"/>
    <w:rsid w:val="00441395"/>
    <w:rsid w:val="00444930"/>
    <w:rsid w:val="00447B28"/>
    <w:rsid w:val="00450FC5"/>
    <w:rsid w:val="004537D2"/>
    <w:rsid w:val="00453E3E"/>
    <w:rsid w:val="004566F2"/>
    <w:rsid w:val="00456AE5"/>
    <w:rsid w:val="00463CE8"/>
    <w:rsid w:val="00466417"/>
    <w:rsid w:val="00467050"/>
    <w:rsid w:val="00467CB0"/>
    <w:rsid w:val="00472A4E"/>
    <w:rsid w:val="0048049C"/>
    <w:rsid w:val="00481B0F"/>
    <w:rsid w:val="00482BAE"/>
    <w:rsid w:val="004830A0"/>
    <w:rsid w:val="004A0637"/>
    <w:rsid w:val="004A4D49"/>
    <w:rsid w:val="004B2E8F"/>
    <w:rsid w:val="004B5012"/>
    <w:rsid w:val="004C23D7"/>
    <w:rsid w:val="004E0F09"/>
    <w:rsid w:val="004E1032"/>
    <w:rsid w:val="004E2CBA"/>
    <w:rsid w:val="004F2573"/>
    <w:rsid w:val="004F6BC6"/>
    <w:rsid w:val="0050199A"/>
    <w:rsid w:val="00502697"/>
    <w:rsid w:val="005044C7"/>
    <w:rsid w:val="0050677C"/>
    <w:rsid w:val="00507195"/>
    <w:rsid w:val="00510ACB"/>
    <w:rsid w:val="00512D44"/>
    <w:rsid w:val="00521A29"/>
    <w:rsid w:val="00522DE8"/>
    <w:rsid w:val="00526054"/>
    <w:rsid w:val="0053540E"/>
    <w:rsid w:val="00540C62"/>
    <w:rsid w:val="005439EE"/>
    <w:rsid w:val="00543F25"/>
    <w:rsid w:val="00545777"/>
    <w:rsid w:val="00547563"/>
    <w:rsid w:val="0056115D"/>
    <w:rsid w:val="00561768"/>
    <w:rsid w:val="00565E12"/>
    <w:rsid w:val="0057650D"/>
    <w:rsid w:val="00576578"/>
    <w:rsid w:val="00587F94"/>
    <w:rsid w:val="005900CA"/>
    <w:rsid w:val="005946F4"/>
    <w:rsid w:val="00597912"/>
    <w:rsid w:val="005A5DF6"/>
    <w:rsid w:val="005C0CFB"/>
    <w:rsid w:val="005C289A"/>
    <w:rsid w:val="005C39CD"/>
    <w:rsid w:val="005C3B61"/>
    <w:rsid w:val="005C58B7"/>
    <w:rsid w:val="005D274A"/>
    <w:rsid w:val="005D3379"/>
    <w:rsid w:val="005D3857"/>
    <w:rsid w:val="005E5EA2"/>
    <w:rsid w:val="005F17E6"/>
    <w:rsid w:val="005F2134"/>
    <w:rsid w:val="005F2C36"/>
    <w:rsid w:val="005F5FC6"/>
    <w:rsid w:val="005F796E"/>
    <w:rsid w:val="00617CBF"/>
    <w:rsid w:val="00621F3F"/>
    <w:rsid w:val="00623651"/>
    <w:rsid w:val="00630D20"/>
    <w:rsid w:val="00632307"/>
    <w:rsid w:val="00633D95"/>
    <w:rsid w:val="00643680"/>
    <w:rsid w:val="00644582"/>
    <w:rsid w:val="00645766"/>
    <w:rsid w:val="006613D5"/>
    <w:rsid w:val="00664D69"/>
    <w:rsid w:val="0066729E"/>
    <w:rsid w:val="006708A6"/>
    <w:rsid w:val="006739FC"/>
    <w:rsid w:val="00673A71"/>
    <w:rsid w:val="00674771"/>
    <w:rsid w:val="00676AD2"/>
    <w:rsid w:val="00680593"/>
    <w:rsid w:val="00683B2A"/>
    <w:rsid w:val="006914F4"/>
    <w:rsid w:val="00695A9D"/>
    <w:rsid w:val="006A0F20"/>
    <w:rsid w:val="006A1D1C"/>
    <w:rsid w:val="006B0579"/>
    <w:rsid w:val="006B3C02"/>
    <w:rsid w:val="006B7B18"/>
    <w:rsid w:val="006C53F8"/>
    <w:rsid w:val="006C61C4"/>
    <w:rsid w:val="006C65E9"/>
    <w:rsid w:val="006C73FC"/>
    <w:rsid w:val="006D15B2"/>
    <w:rsid w:val="006D40F7"/>
    <w:rsid w:val="006E10ED"/>
    <w:rsid w:val="006E2103"/>
    <w:rsid w:val="006E245E"/>
    <w:rsid w:val="006E3140"/>
    <w:rsid w:val="006E7DFC"/>
    <w:rsid w:val="006F10B4"/>
    <w:rsid w:val="006F5593"/>
    <w:rsid w:val="006F6CE4"/>
    <w:rsid w:val="00713CF9"/>
    <w:rsid w:val="007163AB"/>
    <w:rsid w:val="0072424C"/>
    <w:rsid w:val="0073135C"/>
    <w:rsid w:val="00735426"/>
    <w:rsid w:val="00740FAA"/>
    <w:rsid w:val="007427BB"/>
    <w:rsid w:val="00742E02"/>
    <w:rsid w:val="00743F9F"/>
    <w:rsid w:val="0074437E"/>
    <w:rsid w:val="00744BF9"/>
    <w:rsid w:val="00752FD7"/>
    <w:rsid w:val="00754EA0"/>
    <w:rsid w:val="00767025"/>
    <w:rsid w:val="0077380B"/>
    <w:rsid w:val="007871E9"/>
    <w:rsid w:val="007913D0"/>
    <w:rsid w:val="007921BD"/>
    <w:rsid w:val="0079235B"/>
    <w:rsid w:val="00794C26"/>
    <w:rsid w:val="007A2B95"/>
    <w:rsid w:val="007A6980"/>
    <w:rsid w:val="007B18B1"/>
    <w:rsid w:val="007B26C1"/>
    <w:rsid w:val="007B4BAB"/>
    <w:rsid w:val="007B7395"/>
    <w:rsid w:val="007D1346"/>
    <w:rsid w:val="007D284D"/>
    <w:rsid w:val="007D4164"/>
    <w:rsid w:val="007D649A"/>
    <w:rsid w:val="007E13EB"/>
    <w:rsid w:val="007E6097"/>
    <w:rsid w:val="007F363D"/>
    <w:rsid w:val="007F473E"/>
    <w:rsid w:val="007F6703"/>
    <w:rsid w:val="00804177"/>
    <w:rsid w:val="00814E87"/>
    <w:rsid w:val="00821926"/>
    <w:rsid w:val="008220AA"/>
    <w:rsid w:val="00822FD9"/>
    <w:rsid w:val="0082376F"/>
    <w:rsid w:val="00834A55"/>
    <w:rsid w:val="00835D10"/>
    <w:rsid w:val="00837704"/>
    <w:rsid w:val="00837736"/>
    <w:rsid w:val="008436A0"/>
    <w:rsid w:val="0084520C"/>
    <w:rsid w:val="00853753"/>
    <w:rsid w:val="008540BD"/>
    <w:rsid w:val="00854982"/>
    <w:rsid w:val="00855875"/>
    <w:rsid w:val="00873223"/>
    <w:rsid w:val="00881CF0"/>
    <w:rsid w:val="008827AE"/>
    <w:rsid w:val="00890D20"/>
    <w:rsid w:val="008968DA"/>
    <w:rsid w:val="008A08F9"/>
    <w:rsid w:val="008A0B70"/>
    <w:rsid w:val="008A1279"/>
    <w:rsid w:val="008A2B1A"/>
    <w:rsid w:val="008A5ACE"/>
    <w:rsid w:val="008A652E"/>
    <w:rsid w:val="008B6B51"/>
    <w:rsid w:val="008C0758"/>
    <w:rsid w:val="008C2686"/>
    <w:rsid w:val="008D053C"/>
    <w:rsid w:val="008D1A21"/>
    <w:rsid w:val="008D6BD8"/>
    <w:rsid w:val="008E0E5D"/>
    <w:rsid w:val="008E2914"/>
    <w:rsid w:val="008E4E0A"/>
    <w:rsid w:val="008E743A"/>
    <w:rsid w:val="008F3AC3"/>
    <w:rsid w:val="00906A26"/>
    <w:rsid w:val="00911D5B"/>
    <w:rsid w:val="009155CE"/>
    <w:rsid w:val="00916BAE"/>
    <w:rsid w:val="009324B6"/>
    <w:rsid w:val="009332F8"/>
    <w:rsid w:val="00936AE1"/>
    <w:rsid w:val="00940717"/>
    <w:rsid w:val="0094211F"/>
    <w:rsid w:val="00946028"/>
    <w:rsid w:val="00947583"/>
    <w:rsid w:val="009530AD"/>
    <w:rsid w:val="00954923"/>
    <w:rsid w:val="00956117"/>
    <w:rsid w:val="0095775D"/>
    <w:rsid w:val="00964C54"/>
    <w:rsid w:val="00964F2E"/>
    <w:rsid w:val="00967673"/>
    <w:rsid w:val="00967AD0"/>
    <w:rsid w:val="0097170D"/>
    <w:rsid w:val="00971E7A"/>
    <w:rsid w:val="00972E1F"/>
    <w:rsid w:val="00974B8D"/>
    <w:rsid w:val="00991749"/>
    <w:rsid w:val="00992055"/>
    <w:rsid w:val="00992B14"/>
    <w:rsid w:val="00996C06"/>
    <w:rsid w:val="0099759F"/>
    <w:rsid w:val="009A3620"/>
    <w:rsid w:val="009A48DD"/>
    <w:rsid w:val="009A69F7"/>
    <w:rsid w:val="009A7FFE"/>
    <w:rsid w:val="009B2E65"/>
    <w:rsid w:val="009C06EA"/>
    <w:rsid w:val="009D67AE"/>
    <w:rsid w:val="009E64E7"/>
    <w:rsid w:val="00A117B6"/>
    <w:rsid w:val="00A1654D"/>
    <w:rsid w:val="00A21189"/>
    <w:rsid w:val="00A23981"/>
    <w:rsid w:val="00A25606"/>
    <w:rsid w:val="00A27A61"/>
    <w:rsid w:val="00A3498C"/>
    <w:rsid w:val="00A36EE1"/>
    <w:rsid w:val="00A40C91"/>
    <w:rsid w:val="00A548A6"/>
    <w:rsid w:val="00A56C78"/>
    <w:rsid w:val="00A60B46"/>
    <w:rsid w:val="00A64E9D"/>
    <w:rsid w:val="00A70727"/>
    <w:rsid w:val="00A7531A"/>
    <w:rsid w:val="00A7732C"/>
    <w:rsid w:val="00A81A20"/>
    <w:rsid w:val="00A830DD"/>
    <w:rsid w:val="00A96DF8"/>
    <w:rsid w:val="00AA0E5B"/>
    <w:rsid w:val="00AA34BD"/>
    <w:rsid w:val="00AA534D"/>
    <w:rsid w:val="00AB0396"/>
    <w:rsid w:val="00AB137B"/>
    <w:rsid w:val="00AB1BD0"/>
    <w:rsid w:val="00AB4BE0"/>
    <w:rsid w:val="00AB5361"/>
    <w:rsid w:val="00AD2F0E"/>
    <w:rsid w:val="00AD5ACF"/>
    <w:rsid w:val="00AD7FA9"/>
    <w:rsid w:val="00AE0302"/>
    <w:rsid w:val="00AE16A6"/>
    <w:rsid w:val="00AE46A2"/>
    <w:rsid w:val="00AF2BC2"/>
    <w:rsid w:val="00B00595"/>
    <w:rsid w:val="00B06CD0"/>
    <w:rsid w:val="00B06E5E"/>
    <w:rsid w:val="00B11C52"/>
    <w:rsid w:val="00B21B87"/>
    <w:rsid w:val="00B23A45"/>
    <w:rsid w:val="00B2768B"/>
    <w:rsid w:val="00B31443"/>
    <w:rsid w:val="00B34A09"/>
    <w:rsid w:val="00B40066"/>
    <w:rsid w:val="00B43680"/>
    <w:rsid w:val="00B50829"/>
    <w:rsid w:val="00B56764"/>
    <w:rsid w:val="00B6469B"/>
    <w:rsid w:val="00B65335"/>
    <w:rsid w:val="00B670D3"/>
    <w:rsid w:val="00B67B50"/>
    <w:rsid w:val="00B67F8D"/>
    <w:rsid w:val="00B7005A"/>
    <w:rsid w:val="00B71B3B"/>
    <w:rsid w:val="00B72C82"/>
    <w:rsid w:val="00B73299"/>
    <w:rsid w:val="00B74680"/>
    <w:rsid w:val="00B759AC"/>
    <w:rsid w:val="00B7677A"/>
    <w:rsid w:val="00B8126C"/>
    <w:rsid w:val="00B81654"/>
    <w:rsid w:val="00B818A0"/>
    <w:rsid w:val="00B82BA5"/>
    <w:rsid w:val="00B917B6"/>
    <w:rsid w:val="00B9304D"/>
    <w:rsid w:val="00B949CB"/>
    <w:rsid w:val="00B9716E"/>
    <w:rsid w:val="00BA1040"/>
    <w:rsid w:val="00BB00A9"/>
    <w:rsid w:val="00BB1CE0"/>
    <w:rsid w:val="00BB75B7"/>
    <w:rsid w:val="00BC124C"/>
    <w:rsid w:val="00BC26AB"/>
    <w:rsid w:val="00BC3954"/>
    <w:rsid w:val="00BC4B30"/>
    <w:rsid w:val="00BC5341"/>
    <w:rsid w:val="00BC58FA"/>
    <w:rsid w:val="00BC7C0E"/>
    <w:rsid w:val="00BE2ED8"/>
    <w:rsid w:val="00BF01E2"/>
    <w:rsid w:val="00BF32F8"/>
    <w:rsid w:val="00BF3431"/>
    <w:rsid w:val="00C018AC"/>
    <w:rsid w:val="00C0401B"/>
    <w:rsid w:val="00C07288"/>
    <w:rsid w:val="00C108D3"/>
    <w:rsid w:val="00C114E3"/>
    <w:rsid w:val="00C13A20"/>
    <w:rsid w:val="00C14CBE"/>
    <w:rsid w:val="00C14CF1"/>
    <w:rsid w:val="00C234AE"/>
    <w:rsid w:val="00C244D1"/>
    <w:rsid w:val="00C34748"/>
    <w:rsid w:val="00C352CC"/>
    <w:rsid w:val="00C35CCC"/>
    <w:rsid w:val="00C36FEA"/>
    <w:rsid w:val="00C37331"/>
    <w:rsid w:val="00C42552"/>
    <w:rsid w:val="00C47120"/>
    <w:rsid w:val="00C551AC"/>
    <w:rsid w:val="00C55660"/>
    <w:rsid w:val="00C65E25"/>
    <w:rsid w:val="00C71659"/>
    <w:rsid w:val="00C77067"/>
    <w:rsid w:val="00C80798"/>
    <w:rsid w:val="00C83774"/>
    <w:rsid w:val="00C84F65"/>
    <w:rsid w:val="00C87E44"/>
    <w:rsid w:val="00CA1D5F"/>
    <w:rsid w:val="00CA2EBF"/>
    <w:rsid w:val="00CA6236"/>
    <w:rsid w:val="00CA6F82"/>
    <w:rsid w:val="00CB4C98"/>
    <w:rsid w:val="00CB7BB5"/>
    <w:rsid w:val="00CC0028"/>
    <w:rsid w:val="00CC1DA3"/>
    <w:rsid w:val="00CC55FA"/>
    <w:rsid w:val="00CD65EF"/>
    <w:rsid w:val="00CF09E1"/>
    <w:rsid w:val="00CF293F"/>
    <w:rsid w:val="00CF5BB5"/>
    <w:rsid w:val="00D009FE"/>
    <w:rsid w:val="00D01F90"/>
    <w:rsid w:val="00D04027"/>
    <w:rsid w:val="00D10231"/>
    <w:rsid w:val="00D16CCE"/>
    <w:rsid w:val="00D16EE1"/>
    <w:rsid w:val="00D22181"/>
    <w:rsid w:val="00D36112"/>
    <w:rsid w:val="00D40FFE"/>
    <w:rsid w:val="00D418D6"/>
    <w:rsid w:val="00D42408"/>
    <w:rsid w:val="00D441CD"/>
    <w:rsid w:val="00D47C9C"/>
    <w:rsid w:val="00D5310B"/>
    <w:rsid w:val="00D536BA"/>
    <w:rsid w:val="00D55BFA"/>
    <w:rsid w:val="00D61DC7"/>
    <w:rsid w:val="00D62B53"/>
    <w:rsid w:val="00D642EB"/>
    <w:rsid w:val="00D76E7E"/>
    <w:rsid w:val="00D86B82"/>
    <w:rsid w:val="00D92971"/>
    <w:rsid w:val="00D955EE"/>
    <w:rsid w:val="00D9585F"/>
    <w:rsid w:val="00DA48DE"/>
    <w:rsid w:val="00DB0406"/>
    <w:rsid w:val="00DB1A96"/>
    <w:rsid w:val="00DC0066"/>
    <w:rsid w:val="00DC10D8"/>
    <w:rsid w:val="00DC3A1A"/>
    <w:rsid w:val="00DC5D9D"/>
    <w:rsid w:val="00DC683F"/>
    <w:rsid w:val="00DD2F68"/>
    <w:rsid w:val="00DD7861"/>
    <w:rsid w:val="00DE0775"/>
    <w:rsid w:val="00DE6B28"/>
    <w:rsid w:val="00DE6CAE"/>
    <w:rsid w:val="00DF70D4"/>
    <w:rsid w:val="00E01764"/>
    <w:rsid w:val="00E018BE"/>
    <w:rsid w:val="00E021A1"/>
    <w:rsid w:val="00E06370"/>
    <w:rsid w:val="00E11259"/>
    <w:rsid w:val="00E150F8"/>
    <w:rsid w:val="00E227E2"/>
    <w:rsid w:val="00E22AC7"/>
    <w:rsid w:val="00E257AB"/>
    <w:rsid w:val="00E26ECA"/>
    <w:rsid w:val="00E27D94"/>
    <w:rsid w:val="00E32943"/>
    <w:rsid w:val="00E33405"/>
    <w:rsid w:val="00E34E8C"/>
    <w:rsid w:val="00E50A00"/>
    <w:rsid w:val="00E531DE"/>
    <w:rsid w:val="00E532BC"/>
    <w:rsid w:val="00E53303"/>
    <w:rsid w:val="00E64D70"/>
    <w:rsid w:val="00E66513"/>
    <w:rsid w:val="00E66535"/>
    <w:rsid w:val="00E70188"/>
    <w:rsid w:val="00E75B5E"/>
    <w:rsid w:val="00E81AD9"/>
    <w:rsid w:val="00E849C0"/>
    <w:rsid w:val="00E85E77"/>
    <w:rsid w:val="00E862DB"/>
    <w:rsid w:val="00E903FB"/>
    <w:rsid w:val="00E91D36"/>
    <w:rsid w:val="00E926E2"/>
    <w:rsid w:val="00E92877"/>
    <w:rsid w:val="00E960F4"/>
    <w:rsid w:val="00E97CC0"/>
    <w:rsid w:val="00EA245C"/>
    <w:rsid w:val="00EA2F8F"/>
    <w:rsid w:val="00EA5700"/>
    <w:rsid w:val="00EA6450"/>
    <w:rsid w:val="00EA6D13"/>
    <w:rsid w:val="00EA6E4E"/>
    <w:rsid w:val="00EB0DB8"/>
    <w:rsid w:val="00EC0901"/>
    <w:rsid w:val="00EC2CF6"/>
    <w:rsid w:val="00ED3B42"/>
    <w:rsid w:val="00ED3E34"/>
    <w:rsid w:val="00ED43EE"/>
    <w:rsid w:val="00ED64B2"/>
    <w:rsid w:val="00EE2497"/>
    <w:rsid w:val="00EE2503"/>
    <w:rsid w:val="00EE390F"/>
    <w:rsid w:val="00EE5684"/>
    <w:rsid w:val="00EE7FDD"/>
    <w:rsid w:val="00F00715"/>
    <w:rsid w:val="00F01E7A"/>
    <w:rsid w:val="00F0246D"/>
    <w:rsid w:val="00F035B7"/>
    <w:rsid w:val="00F04B62"/>
    <w:rsid w:val="00F04E1A"/>
    <w:rsid w:val="00F066C6"/>
    <w:rsid w:val="00F20996"/>
    <w:rsid w:val="00F23D44"/>
    <w:rsid w:val="00F318FB"/>
    <w:rsid w:val="00F33729"/>
    <w:rsid w:val="00F3650F"/>
    <w:rsid w:val="00F41BF0"/>
    <w:rsid w:val="00F46F64"/>
    <w:rsid w:val="00F530DB"/>
    <w:rsid w:val="00F54070"/>
    <w:rsid w:val="00F63272"/>
    <w:rsid w:val="00F66044"/>
    <w:rsid w:val="00F668B3"/>
    <w:rsid w:val="00F678F5"/>
    <w:rsid w:val="00F70AF1"/>
    <w:rsid w:val="00F80145"/>
    <w:rsid w:val="00F838A6"/>
    <w:rsid w:val="00F9196A"/>
    <w:rsid w:val="00F947BD"/>
    <w:rsid w:val="00FA3F86"/>
    <w:rsid w:val="00FB4A8F"/>
    <w:rsid w:val="00FB765F"/>
    <w:rsid w:val="00FB77A8"/>
    <w:rsid w:val="00FC0B41"/>
    <w:rsid w:val="00FC3AA7"/>
    <w:rsid w:val="00FC4BE9"/>
    <w:rsid w:val="00FD2A01"/>
    <w:rsid w:val="00FD48D6"/>
    <w:rsid w:val="00FD5922"/>
    <w:rsid w:val="00FE0A12"/>
    <w:rsid w:val="00FE2DFF"/>
    <w:rsid w:val="00FE4797"/>
    <w:rsid w:val="00FE4F99"/>
    <w:rsid w:val="00FF133C"/>
    <w:rsid w:val="00FF2920"/>
    <w:rsid w:val="00FF5027"/>
    <w:rsid w:val="00FF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637"/>
    <w:rPr>
      <w:rFonts w:ascii="Times New Roman" w:eastAsia="Times New Roman" w:hAnsi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7CC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992055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7CC0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2055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styleId="ListParagraph">
    <w:name w:val="List Paragraph"/>
    <w:basedOn w:val="Normal"/>
    <w:uiPriority w:val="99"/>
    <w:qFormat/>
    <w:rsid w:val="00242621"/>
    <w:pPr>
      <w:ind w:left="720"/>
      <w:contextualSpacing/>
    </w:pPr>
  </w:style>
  <w:style w:type="paragraph" w:styleId="NoSpacing">
    <w:name w:val="No Spacing"/>
    <w:uiPriority w:val="99"/>
    <w:qFormat/>
    <w:rsid w:val="005D3379"/>
    <w:rPr>
      <w:lang w:eastAsia="en-US"/>
    </w:rPr>
  </w:style>
  <w:style w:type="paragraph" w:styleId="NormalWeb">
    <w:name w:val="Normal (Web)"/>
    <w:basedOn w:val="Normal"/>
    <w:uiPriority w:val="99"/>
    <w:rsid w:val="00034B8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EndnoteText">
    <w:name w:val="endnote text"/>
    <w:basedOn w:val="Normal"/>
    <w:link w:val="EndnoteTextChar"/>
    <w:uiPriority w:val="99"/>
    <w:semiHidden/>
    <w:rsid w:val="00C87E44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87E44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C87E44"/>
    <w:rPr>
      <w:rFonts w:cs="Times New Roman"/>
      <w:vertAlign w:val="superscript"/>
    </w:rPr>
  </w:style>
  <w:style w:type="paragraph" w:customStyle="1" w:styleId="class5">
    <w:name w:val="class5"/>
    <w:basedOn w:val="Normal"/>
    <w:uiPriority w:val="99"/>
    <w:rsid w:val="00E97CC0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E97CC0"/>
    <w:rPr>
      <w:rFonts w:cs="Times New Roman"/>
      <w:i/>
      <w:iCs/>
    </w:rPr>
  </w:style>
  <w:style w:type="paragraph" w:styleId="Title">
    <w:name w:val="Title"/>
    <w:basedOn w:val="Normal"/>
    <w:link w:val="TitleChar"/>
    <w:uiPriority w:val="99"/>
    <w:qFormat/>
    <w:rsid w:val="00D55BFA"/>
    <w:pPr>
      <w:widowControl w:val="0"/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D55BFA"/>
    <w:rPr>
      <w:rFonts w:ascii="Times New Roman" w:hAnsi="Times New Roman" w:cs="Times New Roman"/>
      <w:b/>
      <w:snapToGrid w:val="0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B72C82"/>
    <w:pPr>
      <w:ind w:right="-522"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72C8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Just">
    <w:name w:val="Just"/>
    <w:uiPriority w:val="99"/>
    <w:rsid w:val="00251152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hAnsi="Times New Roman"/>
      <w:sz w:val="24"/>
      <w:szCs w:val="24"/>
      <w:lang w:val="ru-RU"/>
    </w:rPr>
  </w:style>
  <w:style w:type="paragraph" w:customStyle="1" w:styleId="1">
    <w:name w:val="Без интервала1"/>
    <w:link w:val="NoSpacingChar"/>
    <w:uiPriority w:val="99"/>
    <w:rsid w:val="00507195"/>
    <w:rPr>
      <w:rFonts w:eastAsia="Times New Roman"/>
      <w:lang w:eastAsia="en-US"/>
    </w:rPr>
  </w:style>
  <w:style w:type="character" w:customStyle="1" w:styleId="NoSpacingChar">
    <w:name w:val="No Spacing Char"/>
    <w:link w:val="1"/>
    <w:uiPriority w:val="99"/>
    <w:locked/>
    <w:rsid w:val="00507195"/>
    <w:rPr>
      <w:rFonts w:ascii="Calibri" w:hAnsi="Calibri"/>
      <w:sz w:val="22"/>
      <w:lang w:val="uk-UA" w:eastAsia="en-US"/>
    </w:rPr>
  </w:style>
  <w:style w:type="table" w:styleId="TableGrid">
    <w:name w:val="Table Grid"/>
    <w:basedOn w:val="TableNormal"/>
    <w:uiPriority w:val="99"/>
    <w:rsid w:val="001E321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23A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3A45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09770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9770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09770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97708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9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8</Pages>
  <Words>11473</Words>
  <Characters>6541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ТЕСТИ </dc:title>
  <dc:subject/>
  <dc:creator>Дмитрий Каленюк</dc:creator>
  <cp:keywords/>
  <dc:description/>
  <cp:lastModifiedBy>Ліна</cp:lastModifiedBy>
  <cp:revision>2</cp:revision>
  <cp:lastPrinted>2014-10-23T07:48:00Z</cp:lastPrinted>
  <dcterms:created xsi:type="dcterms:W3CDTF">2015-02-06T09:37:00Z</dcterms:created>
  <dcterms:modified xsi:type="dcterms:W3CDTF">2015-02-06T09:37:00Z</dcterms:modified>
</cp:coreProperties>
</file>